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processo-n.º-123424.5t8lsb"/>
    <w:p>
      <w:pPr>
        <w:pStyle w:val="Heading2"/>
      </w:pPr>
      <w:r>
        <w:t xml:space="preserve">Processo n.º 1234/24.5T8LSB</w:t>
      </w:r>
    </w:p>
    <w:p>
      <w:pPr>
        <w:pStyle w:val="FirstParagraph"/>
      </w:pPr>
      <w:r>
        <w:rPr>
          <w:b/>
          <w:bCs/>
        </w:rPr>
        <w:t xml:space="preserve">Vara Cível da Comarca de Lisboa</w:t>
      </w:r>
    </w:p>
    <w:bookmarkStart w:id="9" w:name="Xef874981ef1022ec11714cef81fc7b30b4d3854"/>
    <w:p>
      <w:pPr>
        <w:pStyle w:val="Heading3"/>
      </w:pPr>
      <w:r>
        <w:t xml:space="preserve">Pedido de Indemnização por Obras Não Autorizadas</w:t>
      </w:r>
    </w:p>
    <w:p>
      <w:pPr>
        <w:pStyle w:val="FirstParagraph"/>
      </w:pPr>
      <w:r>
        <w:rPr>
          <w:b/>
          <w:bCs/>
        </w:rPr>
        <w:t xml:space="preserve">Autor / Requerente:</w:t>
      </w:r>
      <w:r>
        <w:br/>
      </w:r>
      <w:r>
        <w:t xml:space="preserve">Empresa de Arrendamento Comercial, Lda., pessoa coletiva número de identificação fiscal</w:t>
      </w:r>
      <w:r>
        <w:t xml:space="preserve"> </w:t>
      </w:r>
      <w:r>
        <w:rPr>
          <w:b/>
          <w:bCs/>
        </w:rPr>
        <w:t xml:space="preserve">123 456 789</w:t>
      </w:r>
      <w:r>
        <w:t xml:space="preserve">, com sede na Rua da Prata, nº 45, 1200‑123 Lisboa, representada por</w:t>
      </w:r>
      <w:r>
        <w:t xml:space="preserve"> </w:t>
      </w:r>
      <w:r>
        <w:rPr>
          <w:b/>
          <w:bCs/>
        </w:rPr>
        <w:t xml:space="preserve">Dr. Ana Martins</w:t>
      </w:r>
      <w:r>
        <w:t xml:space="preserve">, advogado, inscrição na Ordem dos Advogados sob o n.º</w:t>
      </w:r>
      <w:r>
        <w:t xml:space="preserve"> </w:t>
      </w:r>
      <w:r>
        <w:rPr>
          <w:b/>
          <w:bCs/>
        </w:rPr>
        <w:t xml:space="preserve">OA 12345</w:t>
      </w:r>
      <w:r>
        <w:t xml:space="preserve">, e por</w:t>
      </w:r>
      <w:r>
        <w:t xml:space="preserve"> </w:t>
      </w:r>
      <w:r>
        <w:rPr>
          <w:b/>
          <w:bCs/>
        </w:rPr>
        <w:t xml:space="preserve">Dr. Luís Pereira</w:t>
      </w:r>
      <w:r>
        <w:t xml:space="preserve">, advogado, inscrição OA 67890.</w:t>
      </w:r>
    </w:p>
    <w:p>
      <w:pPr>
        <w:pStyle w:val="BodyText"/>
      </w:pPr>
      <w:r>
        <w:rPr>
          <w:b/>
          <w:bCs/>
        </w:rPr>
        <w:t xml:space="preserve">Réu / Requerido:</w:t>
      </w:r>
      <w:r>
        <w:br/>
      </w:r>
      <w:r>
        <w:t xml:space="preserve">Sr. João da Silva, contribuinte nº</w:t>
      </w:r>
      <w:r>
        <w:t xml:space="preserve"> </w:t>
      </w:r>
      <w:r>
        <w:rPr>
          <w:b/>
          <w:bCs/>
        </w:rPr>
        <w:t xml:space="preserve">987 654 321</w:t>
      </w:r>
      <w:r>
        <w:t xml:space="preserve">, residente na Avenida das Descobertas, nº 12, 3.º Esq., 1000‑200 Lisboa.</w:t>
      </w:r>
    </w:p>
    <w:p>
      <w:pPr>
        <w:pStyle w:val="BodyText"/>
      </w:pPr>
      <w:r>
        <w:rPr>
          <w:b/>
          <w:bCs/>
        </w:rPr>
        <w:t xml:space="preserve">Juiz:</w:t>
      </w:r>
      <w:r>
        <w:br/>
      </w:r>
      <w:r>
        <w:t xml:space="preserve">Juiz de Direito da Vara Cível de Lisboa.</w:t>
      </w:r>
    </w:p>
    <w:p>
      <w:r>
        <w:pict>
          <v:rect style="width:0;height:1.5pt" o:hralign="center" o:hrstd="t" o:hr="t"/>
        </w:pict>
      </w:r>
    </w:p>
    <w:bookmarkEnd w:id="9"/>
    <w:bookmarkStart w:id="10" w:name="i.-exposição-dos-factos"/>
    <w:p>
      <w:pPr>
        <w:pStyle w:val="Heading3"/>
      </w:pPr>
      <w:r>
        <w:t xml:space="preserve">I. Exposição dos Factos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Contrato de Arrendamento Comercial</w:t>
      </w:r>
      <w:r>
        <w:t xml:space="preserve"> </w:t>
      </w:r>
      <w:r>
        <w:t xml:space="preserve">– Em</w:t>
      </w:r>
      <w:r>
        <w:t xml:space="preserve"> </w:t>
      </w:r>
      <w:r>
        <w:rPr>
          <w:b/>
          <w:bCs/>
        </w:rPr>
        <w:t xml:space="preserve">15 de janeiro de 2022</w:t>
      </w:r>
      <w:r>
        <w:t xml:space="preserve">, as partes celebraram contrato de arrendamento comercial, com vigência de 5 (cinco) anos, tendo como objeto o estabelecimento comercial localizado no primeiro andar do prédio sito na Rua da Prata, nº 45, 1200‑123 Lisboa (doravante “Imóvel”). O contrato foi formalmente registrado e encontra‑se em vigor até</w:t>
      </w:r>
      <w:r>
        <w:t xml:space="preserve"> </w:t>
      </w:r>
      <w:r>
        <w:rPr>
          <w:b/>
          <w:bCs/>
        </w:rPr>
        <w:t xml:space="preserve">15 de janeiro de 2027</w:t>
      </w:r>
      <w:r>
        <w:t xml:space="preserve">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Incumprimento das Obrigações de Pagamento</w:t>
      </w:r>
      <w:r>
        <w:t xml:space="preserve"> </w:t>
      </w:r>
      <w:r>
        <w:t xml:space="preserve">– O réu deixou de pagar as rendas mensais a partir de</w:t>
      </w:r>
      <w:r>
        <w:t xml:space="preserve"> </w:t>
      </w:r>
      <w:r>
        <w:rPr>
          <w:b/>
          <w:bCs/>
        </w:rPr>
        <w:t xml:space="preserve">1 de agosto de 2023</w:t>
      </w:r>
      <w:r>
        <w:t xml:space="preserve">, acumulando um débito de 8 (oito) meses até</w:t>
      </w:r>
      <w:r>
        <w:t xml:space="preserve"> </w:t>
      </w:r>
      <w:r>
        <w:rPr>
          <w:b/>
          <w:bCs/>
        </w:rPr>
        <w:t xml:space="preserve">31 de março de 2024</w:t>
      </w:r>
      <w:r>
        <w:t xml:space="preserve">, totalizando</w:t>
      </w:r>
      <w:r>
        <w:t xml:space="preserve"> </w:t>
      </w:r>
      <w:r>
        <w:rPr>
          <w:b/>
          <w:bCs/>
        </w:rPr>
        <w:t xml:space="preserve">€ 24 800,00</w:t>
      </w:r>
      <w:r>
        <w:t xml:space="preserve"> </w:t>
      </w:r>
      <w:r>
        <w:t xml:space="preserve">(vinte e quatro mil e oitocentos euros).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Obras Não Autorizadas</w:t>
      </w:r>
      <w:r>
        <w:t xml:space="preserve"> </w:t>
      </w:r>
      <w:r>
        <w:t xml:space="preserve">– Entre</w:t>
      </w:r>
      <w:r>
        <w:t xml:space="preserve"> </w:t>
      </w:r>
      <w:r>
        <w:rPr>
          <w:b/>
          <w:bCs/>
        </w:rPr>
        <w:t xml:space="preserve">10 e 20 de fevereiro de 2024</w:t>
      </w:r>
      <w:r>
        <w:t xml:space="preserve">, o réu, sem prévia comunicação nem autorização escrita do senhorio, realizou obras de remodelação interior no Imóvel, consistentes em:</w:t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Demolição parcial de paredes estruturais</w:t>
      </w:r>
      <w:r>
        <w:t xml:space="preserve">;</w:t>
      </w:r>
      <w:r>
        <w:br/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Instalação de nova rede elétrica</w:t>
      </w:r>
      <w:r>
        <w:t xml:space="preserve"> </w:t>
      </w:r>
      <w:r>
        <w:t xml:space="preserve">e de</w:t>
      </w:r>
      <w:r>
        <w:t xml:space="preserve"> </w:t>
      </w:r>
      <w:r>
        <w:rPr>
          <w:b/>
          <w:bCs/>
        </w:rPr>
        <w:t xml:space="preserve">sistema de climatização</w:t>
      </w:r>
      <w:r>
        <w:t xml:space="preserve">;</w:t>
      </w:r>
      <w:r>
        <w:br/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Alteração da fachada interior</w:t>
      </w:r>
      <w:r>
        <w:t xml:space="preserve"> </w:t>
      </w:r>
      <w:r>
        <w:t xml:space="preserve">com aplicação de revestimentos de pedra artificial.</w:t>
      </w:r>
    </w:p>
    <w:p>
      <w:pPr>
        <w:numPr>
          <w:ilvl w:val="0"/>
          <w:numId w:val="1000"/>
        </w:numPr>
      </w:pPr>
      <w:r>
        <w:t xml:space="preserve">As referidas intervenções foram executadas por empresa terceirizada sem qualquer vistoria ou aprovação prévia, violando o disposto no artigo 1084.º do Código Civil e nas cláusulas</w:t>
      </w:r>
      <w:r>
        <w:t xml:space="preserve"> </w:t>
      </w:r>
      <w:r>
        <w:rPr>
          <w:b/>
          <w:bCs/>
        </w:rPr>
        <w:t xml:space="preserve">5.º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6.º</w:t>
      </w:r>
      <w:r>
        <w:t xml:space="preserve"> </w:t>
      </w:r>
      <w:r>
        <w:t xml:space="preserve">do contrato de arrendamento, que exigem autorização escrita do senhorio para qualquer obra que altere a estrutura ou a destinação do Imóvel.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Danos Resultantes</w:t>
      </w:r>
      <w:r>
        <w:t xml:space="preserve"> </w:t>
      </w:r>
      <w:r>
        <w:t xml:space="preserve">– As obras provocaram:</w:t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Comprometimento da estabilidade estrutural</w:t>
      </w:r>
      <w:r>
        <w:t xml:space="preserve"> </w:t>
      </w:r>
      <w:r>
        <w:t xml:space="preserve">das paredes demolidas;</w:t>
      </w:r>
      <w:r>
        <w:br/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Incompatibilidade elétrica</w:t>
      </w:r>
      <w:r>
        <w:t xml:space="preserve"> </w:t>
      </w:r>
      <w:r>
        <w:t xml:space="preserve">com as normas de segurança em vigor;</w:t>
      </w:r>
      <w:r>
        <w:br/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Desvalorização estética</w:t>
      </w:r>
      <w:r>
        <w:t xml:space="preserve"> </w:t>
      </w:r>
      <w:r>
        <w:t xml:space="preserve">do imóvel, tornando‑o inadequado ao uso originalmente pactuado.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Custos de Reversão e Restauro</w:t>
      </w:r>
      <w:r>
        <w:t xml:space="preserve"> </w:t>
      </w:r>
      <w:r>
        <w:t xml:space="preserve">– Em</w:t>
      </w:r>
      <w:r>
        <w:t xml:space="preserve"> </w:t>
      </w:r>
      <w:r>
        <w:rPr>
          <w:b/>
          <w:bCs/>
        </w:rPr>
        <w:t xml:space="preserve">30 de março de 2024</w:t>
      </w:r>
      <w:r>
        <w:t xml:space="preserve">, a Empresa de Arrendamento Comercial, Lda. procedeu à contratação de empresa especializada para a avaliação e execução das obras de restauro, com o seguinte orçamento detalhado: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720"/>
        <w:gridCol w:w="1320"/>
        <w:gridCol w:w="1440"/>
        <w:gridCol w:w="2400"/>
        <w:gridCol w:w="20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Item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Quantidade</w:t>
            </w:r>
          </w:p>
        </w:tc>
        <w:tc>
          <w:tcPr/>
          <w:p>
            <w:pPr>
              <w:pStyle w:val="Compact"/>
            </w:pPr>
            <w:r>
              <w:t xml:space="preserve">Valor Unitário (€)</w:t>
            </w:r>
          </w:p>
        </w:tc>
        <w:tc>
          <w:tcPr/>
          <w:p>
            <w:pPr>
              <w:pStyle w:val="Compact"/>
            </w:pPr>
            <w:r>
              <w:t xml:space="preserve">Valor Total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Reforço de paredes estruturais (engenharia e obras)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8 500,00</w:t>
            </w:r>
          </w:p>
        </w:tc>
        <w:tc>
          <w:tcPr/>
          <w:p>
            <w:pPr>
              <w:pStyle w:val="Compact"/>
            </w:pPr>
            <w:r>
              <w:t xml:space="preserve">8 500,00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Reinstalação de rede elétrica conforme normas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3 200,00</w:t>
            </w:r>
          </w:p>
        </w:tc>
        <w:tc>
          <w:tcPr/>
          <w:p>
            <w:pPr>
              <w:pStyle w:val="Compact"/>
            </w:pPr>
            <w:r>
              <w:t xml:space="preserve">3 200,00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Remoção de revestimentos e reinstalação de acabamento original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4 150,00</w:t>
            </w:r>
          </w:p>
        </w:tc>
        <w:tc>
          <w:tcPr/>
          <w:p>
            <w:pPr>
              <w:pStyle w:val="Compact"/>
            </w:pPr>
            <w:r>
              <w:t xml:space="preserve">4 150,00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Inspeção e certificação de conformidade técnica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1 250,00</w:t>
            </w:r>
          </w:p>
        </w:tc>
        <w:tc>
          <w:tcPr/>
          <w:p>
            <w:pPr>
              <w:pStyle w:val="Compact"/>
            </w:pPr>
            <w:r>
              <w:t xml:space="preserve">1 250,00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€ 17 100,00</w:t>
            </w:r>
          </w:p>
        </w:tc>
      </w:tr>
    </w:tbl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Notificação Prévia</w:t>
      </w:r>
      <w:r>
        <w:t xml:space="preserve"> </w:t>
      </w:r>
      <w:r>
        <w:t xml:space="preserve">– Em</w:t>
      </w:r>
      <w:r>
        <w:t xml:space="preserve"> </w:t>
      </w:r>
      <w:r>
        <w:rPr>
          <w:b/>
          <w:bCs/>
        </w:rPr>
        <w:t xml:space="preserve">5 de abril de 2024</w:t>
      </w:r>
      <w:r>
        <w:t xml:space="preserve">, a empresa requerente enviou ao réu, por carta registada com aviso de receção, notificação a exigir a cessação imediata das obras e a reparação dos danos, concedendo-lhe prazo de 10 (dez) dias úteis para regularizar a situação. O réu não respondeu nem procedeu ao pagamento dos custos.</w:t>
      </w:r>
    </w:p>
    <w:p>
      <w:r>
        <w:pict>
          <v:rect style="width:0;height:1.5pt" o:hralign="center" o:hrstd="t" o:hr="t"/>
        </w:pict>
      </w:r>
    </w:p>
    <w:bookmarkEnd w:id="10"/>
    <w:bookmarkStart w:id="11" w:name="ii.-fundamentação-jurídica"/>
    <w:p>
      <w:pPr>
        <w:pStyle w:val="Heading3"/>
      </w:pPr>
      <w:r>
        <w:t xml:space="preserve">II. Fundamentação Jurídica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Violação do Contrato de Arrendamento</w:t>
      </w:r>
      <w:r>
        <w:t xml:space="preserve"> </w:t>
      </w:r>
      <w:r>
        <w:t xml:space="preserve">– Nos termos do artigo</w:t>
      </w:r>
      <w:r>
        <w:t xml:space="preserve"> </w:t>
      </w:r>
      <w:r>
        <w:rPr>
          <w:b/>
          <w:bCs/>
        </w:rPr>
        <w:t xml:space="preserve">1084.º</w:t>
      </w:r>
      <w:r>
        <w:t xml:space="preserve"> </w:t>
      </w:r>
      <w:r>
        <w:t xml:space="preserve">do Código Civil, o arrendatário não pode realizar obras que alterem a estrutura ou a destinação do bem arrendado sem consentimento escrito do senhorio, sob pena de responsabilidade pelos danos causados.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Caducidade do Contrato</w:t>
      </w:r>
      <w:r>
        <w:t xml:space="preserve"> </w:t>
      </w:r>
      <w:r>
        <w:t xml:space="preserve">– O incumprimento reiterado das obrigações de pagamento por parte do arrendatário, durante oito meses consecutivos, autoriza a resolução do contrato nos termos do artigo</w:t>
      </w:r>
      <w:r>
        <w:t xml:space="preserve"> </w:t>
      </w:r>
      <w:r>
        <w:rPr>
          <w:b/>
          <w:bCs/>
        </w:rPr>
        <w:t xml:space="preserve">1070.º</w:t>
      </w:r>
      <w:r>
        <w:t xml:space="preserve">, alínea</w:t>
      </w:r>
      <w:r>
        <w:t xml:space="preserve"> </w:t>
      </w:r>
      <w:r>
        <w:rPr>
          <w:b/>
          <w:bCs/>
        </w:rPr>
        <w:t xml:space="preserve">b)</w:t>
      </w:r>
      <w:r>
        <w:t xml:space="preserve"> </w:t>
      </w:r>
      <w:r>
        <w:t xml:space="preserve">do Código Civil, já reconhecida no presente processo de despejo.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Responsabilidade Civil por Danos</w:t>
      </w:r>
      <w:r>
        <w:t xml:space="preserve"> </w:t>
      </w:r>
      <w:r>
        <w:t xml:space="preserve">– O artigo</w:t>
      </w:r>
      <w:r>
        <w:t xml:space="preserve"> </w:t>
      </w:r>
      <w:r>
        <w:rPr>
          <w:b/>
          <w:bCs/>
        </w:rPr>
        <w:t xml:space="preserve">483.º</w:t>
      </w:r>
      <w:r>
        <w:t xml:space="preserve"> </w:t>
      </w:r>
      <w:r>
        <w:t xml:space="preserve">do Código Civil impõe ao infrator a obrigação de reparar o dano causado, devendo o réu indenizar o senhorio pelos custos de restauro, acrescidos dos juros moratórios a partir da data de vencimento da obrigação (artigo</w:t>
      </w:r>
      <w:r>
        <w:t xml:space="preserve"> </w:t>
      </w:r>
      <w:r>
        <w:rPr>
          <w:b/>
          <w:bCs/>
        </w:rPr>
        <w:t xml:space="preserve">408.º</w:t>
      </w:r>
      <w:r>
        <w:t xml:space="preserve">, n.º 2).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Juros Moratórios</w:t>
      </w:r>
      <w:r>
        <w:t xml:space="preserve"> </w:t>
      </w:r>
      <w:r>
        <w:t xml:space="preserve">– Aplicam‑se, nos termos do artigo</w:t>
      </w:r>
      <w:r>
        <w:t xml:space="preserve"> </w:t>
      </w:r>
      <w:r>
        <w:rPr>
          <w:b/>
          <w:bCs/>
        </w:rPr>
        <w:t xml:space="preserve">408.º</w:t>
      </w:r>
      <w:r>
        <w:t xml:space="preserve">, n.º 2, a taxa legal de juros de mora em vigor, atualmente</w:t>
      </w:r>
      <w:r>
        <w:t xml:space="preserve"> </w:t>
      </w:r>
      <w:r>
        <w:rPr>
          <w:b/>
          <w:bCs/>
        </w:rPr>
        <w:t xml:space="preserve">4 %</w:t>
      </w:r>
      <w:r>
        <w:t xml:space="preserve"> </w:t>
      </w:r>
      <w:r>
        <w:t xml:space="preserve">ao ano, calculada a partir de</w:t>
      </w:r>
      <w:r>
        <w:t xml:space="preserve"> </w:t>
      </w:r>
      <w:r>
        <w:rPr>
          <w:b/>
          <w:bCs/>
        </w:rPr>
        <w:t xml:space="preserve">31 de março de 2024</w:t>
      </w:r>
      <w:r>
        <w:t xml:space="preserve"> </w:t>
      </w:r>
      <w:r>
        <w:t xml:space="preserve">(data do último pagamento em atraso) até ao efetivo pagamento.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Custas Processuais</w:t>
      </w:r>
      <w:r>
        <w:t xml:space="preserve"> </w:t>
      </w:r>
      <w:r>
        <w:t xml:space="preserve">– Nos termos do artigo</w:t>
      </w:r>
      <w:r>
        <w:t xml:space="preserve"> </w:t>
      </w:r>
      <w:r>
        <w:rPr>
          <w:b/>
          <w:bCs/>
        </w:rPr>
        <w:t xml:space="preserve">21.º</w:t>
      </w:r>
      <w:r>
        <w:t xml:space="preserve"> </w:t>
      </w:r>
      <w:r>
        <w:t xml:space="preserve">da Lei de Custas Judiciais, o réu deve ser condenado ao pagamento das custas e despesas processuais, bem como dos honorários de advogado da parte autora, nos termos do artigo</w:t>
      </w:r>
      <w:r>
        <w:t xml:space="preserve"> </w:t>
      </w:r>
      <w:r>
        <w:rPr>
          <w:b/>
          <w:bCs/>
        </w:rPr>
        <w:t xml:space="preserve">20.º</w:t>
      </w:r>
      <w:r>
        <w:t xml:space="preserve">, n.º 2, do mesmo diploma.</w:t>
      </w:r>
    </w:p>
    <w:p>
      <w:r>
        <w:pict>
          <v:rect style="width:0;height:1.5pt" o:hralign="center" o:hrstd="t" o:hr="t"/>
        </w:pict>
      </w:r>
    </w:p>
    <w:bookmarkEnd w:id="11"/>
    <w:bookmarkStart w:id="12" w:name="iii.-pedidos"/>
    <w:p>
      <w:pPr>
        <w:pStyle w:val="Heading3"/>
      </w:pPr>
      <w:r>
        <w:t xml:space="preserve">III. Pedidos</w:t>
      </w:r>
    </w:p>
    <w:p>
      <w:pPr>
        <w:pStyle w:val="FirstParagraph"/>
      </w:pPr>
      <w:r>
        <w:t xml:space="preserve">Posto o exposto, requer a V. Exa.: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A condenação do réu, Sr. João da Silva</w:t>
      </w:r>
      <w:r>
        <w:t xml:space="preserve">, ao pagamento da quantia de</w:t>
      </w:r>
      <w:r>
        <w:t xml:space="preserve"> </w:t>
      </w:r>
      <w:r>
        <w:rPr>
          <w:b/>
          <w:bCs/>
        </w:rPr>
        <w:t xml:space="preserve">€ 17 100,00</w:t>
      </w:r>
      <w:r>
        <w:t xml:space="preserve"> </w:t>
      </w:r>
      <w:r>
        <w:t xml:space="preserve">(dezassete mil e cem euros), correspondente à indemnização pelos custos das obras não autorizadas e pelos danos patrimoniais resultantes, nos termos do orçamento apresentado (anexo –</w:t>
      </w:r>
      <w:r>
        <w:t xml:space="preserve"> </w:t>
      </w:r>
      <w:r>
        <w:rPr>
          <w:b/>
          <w:bCs/>
        </w:rPr>
        <w:t xml:space="preserve">Anexo I</w:t>
      </w:r>
      <w:r>
        <w:t xml:space="preserve">).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A condenação do réu ao pagamento de juros moratórios</w:t>
      </w:r>
      <w:r>
        <w:t xml:space="preserve"> </w:t>
      </w:r>
      <w:r>
        <w:t xml:space="preserve">sobre o valor acima referido, à taxa legal de 4 % ao ano, a contar de</w:t>
      </w:r>
      <w:r>
        <w:t xml:space="preserve"> </w:t>
      </w:r>
      <w:r>
        <w:rPr>
          <w:b/>
          <w:bCs/>
        </w:rPr>
        <w:t xml:space="preserve">31 de março de 2024</w:t>
      </w:r>
      <w:r>
        <w:t xml:space="preserve"> </w:t>
      </w:r>
      <w:r>
        <w:t xml:space="preserve">até à data da efetiva liquidação.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A condenação do réu ao pagamento das custas processuais</w:t>
      </w:r>
      <w:r>
        <w:t xml:space="preserve"> </w:t>
      </w:r>
      <w:r>
        <w:t xml:space="preserve">e dos honorários de advogado da parte autora, nos termos da Lei de Custas Judiciais, a quantia a ser fixada por este Juízo.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A produção dos seguintes meios de prova</w:t>
      </w:r>
      <w:r>
        <w:t xml:space="preserve">:</w:t>
      </w:r>
    </w:p>
    <w:p>
      <w:pPr>
        <w:pStyle w:val="Compact"/>
        <w:numPr>
          <w:ilvl w:val="1"/>
          <w:numId w:val="1007"/>
        </w:numPr>
      </w:pPr>
      <w:r>
        <w:rPr>
          <w:b/>
          <w:bCs/>
        </w:rPr>
        <w:t xml:space="preserve">Documental</w:t>
      </w:r>
      <w:r>
        <w:t xml:space="preserve"> </w:t>
      </w:r>
      <w:r>
        <w:t xml:space="preserve">– Contrato de arrendamento (Anexo II); notificações enviadas (Anexo III); orçamento de restauro (Anexo I); faturas e comprovativos de pagamento das obras de restauro (Anexo IV).</w:t>
      </w:r>
      <w:r>
        <w:br/>
      </w:r>
    </w:p>
    <w:p>
      <w:pPr>
        <w:pStyle w:val="Compact"/>
        <w:numPr>
          <w:ilvl w:val="1"/>
          <w:numId w:val="1007"/>
        </w:numPr>
      </w:pPr>
      <w:r>
        <w:rPr>
          <w:b/>
          <w:bCs/>
        </w:rPr>
        <w:t xml:space="preserve">Pericial</w:t>
      </w:r>
      <w:r>
        <w:t xml:space="preserve"> </w:t>
      </w:r>
      <w:r>
        <w:t xml:space="preserve">– Nomeação de perito avaliador para atestar a extensão dos danos estruturais e a necessidade das obras de restauro.</w:t>
      </w:r>
      <w:r>
        <w:br/>
      </w:r>
    </w:p>
    <w:p>
      <w:pPr>
        <w:pStyle w:val="Compact"/>
        <w:numPr>
          <w:ilvl w:val="1"/>
          <w:numId w:val="1007"/>
        </w:numPr>
      </w:pPr>
      <w:r>
        <w:rPr>
          <w:b/>
          <w:bCs/>
        </w:rPr>
        <w:t xml:space="preserve">Testemunhal</w:t>
      </w:r>
      <w:r>
        <w:t xml:space="preserve"> </w:t>
      </w:r>
      <w:r>
        <w:t xml:space="preserve">– Oitiva de testemunhas que presenciaram as obras não autorizadas (nomeadamente o responsável da empresa de construção).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A intimação do réu</w:t>
      </w:r>
      <w:r>
        <w:t xml:space="preserve">, nos termos do artigo</w:t>
      </w:r>
      <w:r>
        <w:t xml:space="preserve"> </w:t>
      </w:r>
      <w:r>
        <w:rPr>
          <w:b/>
          <w:bCs/>
        </w:rPr>
        <w:t xml:space="preserve">21.º</w:t>
      </w:r>
      <w:r>
        <w:t xml:space="preserve"> </w:t>
      </w:r>
      <w:r>
        <w:t xml:space="preserve">do Código de Processo Civil, para que, no prazo legal, apresente contestação, sob pena de revelia e confissão quanto à matéria de facto.</w:t>
      </w:r>
    </w:p>
    <w:p>
      <w:pPr>
        <w:numPr>
          <w:ilvl w:val="0"/>
          <w:numId w:val="1006"/>
        </w:numPr>
      </w:pPr>
      <w:r>
        <w:rPr>
          <w:b/>
          <w:bCs/>
        </w:rPr>
        <w:t xml:space="preserve">A concessão de medida cautelar de despejo</w:t>
      </w:r>
      <w:r>
        <w:t xml:space="preserve"> </w:t>
      </w:r>
      <w:r>
        <w:t xml:space="preserve">(nos termos do processo principal de despejo já em curso), caso o réu não desocupe o Imóvel até à data de</w:t>
      </w:r>
      <w:r>
        <w:t xml:space="preserve"> </w:t>
      </w:r>
      <w:r>
        <w:rPr>
          <w:b/>
          <w:bCs/>
        </w:rPr>
        <w:t xml:space="preserve">30 de abril de 2024</w:t>
      </w:r>
      <w:r>
        <w:t xml:space="preserve">, a fim de preservar o direito de propriedade da parte autora.</w:t>
      </w:r>
    </w:p>
    <w:p>
      <w:r>
        <w:pict>
          <v:rect style="width:0;height:1.5pt" o:hralign="center" o:hrstd="t" o:hr="t"/>
        </w:pict>
      </w:r>
    </w:p>
    <w:bookmarkEnd w:id="12"/>
    <w:bookmarkStart w:id="13" w:name="iv.-valor-da-causa"/>
    <w:p>
      <w:pPr>
        <w:pStyle w:val="Heading3"/>
      </w:pPr>
      <w:r>
        <w:t xml:space="preserve">IV. Valor da Causa</w:t>
      </w:r>
    </w:p>
    <w:p>
      <w:pPr>
        <w:pStyle w:val="FirstParagraph"/>
      </w:pPr>
      <w:r>
        <w:t xml:space="preserve">Para efeitos de justiça, fixa‑se o valor da presente ação em</w:t>
      </w:r>
      <w:r>
        <w:t xml:space="preserve"> </w:t>
      </w:r>
      <w:r>
        <w:rPr>
          <w:b/>
          <w:bCs/>
        </w:rPr>
        <w:t xml:space="preserve">€ 17 100,00</w:t>
      </w:r>
      <w:r>
        <w:t xml:space="preserve"> </w:t>
      </w:r>
      <w:r>
        <w:t xml:space="preserve">(dezassete mil e cem euros), correspondente ao montante da indemnização pretendida, nos termos do artigo</w:t>
      </w:r>
      <w:r>
        <w:t xml:space="preserve"> </w:t>
      </w:r>
      <w:r>
        <w:rPr>
          <w:b/>
          <w:bCs/>
        </w:rPr>
        <w:t xml:space="preserve">219.º</w:t>
      </w:r>
      <w:r>
        <w:t xml:space="preserve">, n.º 1, do Código de Processo Civil.</w:t>
      </w:r>
    </w:p>
    <w:p>
      <w:r>
        <w:pict>
          <v:rect style="width:0;height:1.5pt" o:hralign="center" o:hrstd="t" o:hr="t"/>
        </w:pict>
      </w:r>
    </w:p>
    <w:bookmarkEnd w:id="13"/>
    <w:bookmarkStart w:id="14" w:name="v.-termos-em-que"/>
    <w:p>
      <w:pPr>
        <w:pStyle w:val="Heading3"/>
      </w:pPr>
      <w:r>
        <w:t xml:space="preserve">V. Termos em que,</w:t>
      </w:r>
    </w:p>
    <w:p>
      <w:pPr>
        <w:pStyle w:val="FirstParagraph"/>
      </w:pPr>
      <w:r>
        <w:t xml:space="preserve">Pede deferimento.</w:t>
      </w:r>
    </w:p>
    <w:p>
      <w:pPr>
        <w:pStyle w:val="BodyText"/>
      </w:pPr>
      <w:r>
        <w:t xml:space="preserve">Lisboa,</w:t>
      </w:r>
      <w:r>
        <w:t xml:space="preserve"> </w:t>
      </w:r>
      <w:r>
        <w:rPr>
          <w:b/>
          <w:bCs/>
        </w:rPr>
        <w:t xml:space="preserve">15 de março de 2024</w:t>
      </w:r>
      <w:r>
        <w:t xml:space="preserve">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Ana Martins</w:t>
      </w:r>
      <w:r>
        <w:t xml:space="preserve"> </w:t>
      </w:r>
      <w:r>
        <w:t xml:space="preserve">– Advogada – OA 12345</w:t>
      </w:r>
      <w:r>
        <w:br/>
      </w:r>
      <w:r>
        <w:rPr>
          <w:b/>
          <w:bCs/>
        </w:rPr>
        <w:t xml:space="preserve">Dr. Luís Pereira</w:t>
      </w:r>
      <w:r>
        <w:t xml:space="preserve"> </w:t>
      </w:r>
      <w:r>
        <w:t xml:space="preserve">– Advogado – OA 67890</w:t>
      </w:r>
    </w:p>
    <w:p>
      <w:pPr>
        <w:pStyle w:val="BodyText"/>
      </w:pPr>
      <w:r>
        <w:rPr>
          <w:i/>
          <w:iCs/>
        </w:rPr>
        <w:t xml:space="preserve">Anexos: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Anexo I</w:t>
      </w:r>
      <w:r>
        <w:t xml:space="preserve"> </w:t>
      </w:r>
      <w:r>
        <w:t xml:space="preserve">– Orçamento detalhado das obras de restauro (tabela).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Anexo II</w:t>
      </w:r>
      <w:r>
        <w:t xml:space="preserve"> </w:t>
      </w:r>
      <w:r>
        <w:t xml:space="preserve">– Cópia do contrato de arrendamento comercial.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Anexo III</w:t>
      </w:r>
      <w:r>
        <w:t xml:space="preserve"> </w:t>
      </w:r>
      <w:r>
        <w:t xml:space="preserve">– Cópia da notificação enviada ao réu (carta registada).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Anexo IV</w:t>
      </w:r>
      <w:r>
        <w:t xml:space="preserve"> </w:t>
      </w:r>
      <w:r>
        <w:t xml:space="preserve">– Faturas e comprovativos de pagamento das obras de restauro.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6">
    <w:nsid w:val="00A99416"/>
    <w:multiLevelType w:val="multilevel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2."/>
      <w:lvlJc w:val="left"/>
      <w:pPr>
        <w:ind w:left="1440" w:hanging="360"/>
      </w:pPr>
    </w:lvl>
    <w:lvl w:ilvl="2">
      <w:start w:val="6"/>
      <w:numFmt w:val="decimal"/>
      <w:lvlText w:val="%3."/>
      <w:lvlJc w:val="left"/>
      <w:pPr>
        <w:ind w:left="2160" w:hanging="360"/>
      </w:pPr>
    </w:lvl>
    <w:lvl w:ilvl="3">
      <w:start w:val="6"/>
      <w:numFmt w:val="decimal"/>
      <w:lvlText w:val="%4."/>
      <w:lvlJc w:val="left"/>
      <w:pPr>
        <w:ind w:left="2880" w:hanging="360"/>
      </w:pPr>
    </w:lvl>
    <w:lvl w:ilvl="4">
      <w:start w:val="6"/>
      <w:numFmt w:val="decimal"/>
      <w:lvlText w:val="%5."/>
      <w:lvlJc w:val="left"/>
      <w:pPr>
        <w:ind w:left="3600" w:hanging="360"/>
      </w:pPr>
    </w:lvl>
    <w:lvl w:ilvl="5">
      <w:start w:val="6"/>
      <w:numFmt w:val="decimal"/>
      <w:lvlText w:val="%6."/>
      <w:lvlJc w:val="left"/>
      <w:pPr>
        <w:ind w:left="4320" w:hanging="360"/>
      </w:pPr>
    </w:lvl>
    <w:lvl w:ilvl="6">
      <w:start w:val="6"/>
      <w:numFmt w:val="decimal"/>
      <w:lvlText w:val="%7."/>
      <w:lvlJc w:val="left"/>
      <w:pPr>
        <w:ind w:left="5040" w:hanging="360"/>
      </w:pPr>
    </w:lvl>
    <w:lvl w:ilvl="7">
      <w:start w:val="6"/>
      <w:numFmt w:val="decimal"/>
      <w:lvlText w:val="%8."/>
      <w:lvlJc w:val="left"/>
      <w:pPr>
        <w:ind w:left="5760" w:hanging="360"/>
      </w:pPr>
    </w:lvl>
    <w:lvl w:ilvl="8">
      <w:start w:val="6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416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